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879" w:rsidRDefault="00132879" w:rsidP="00132879">
      <w:pPr>
        <w:pStyle w:val="a3"/>
        <w:spacing w:before="0" w:beforeAutospacing="0" w:after="0" w:afterAutospacing="0" w:line="288" w:lineRule="atLeast"/>
        <w:jc w:val="both"/>
      </w:pPr>
      <w:r>
        <w:t> </w:t>
      </w:r>
      <w:r>
        <w:br/>
      </w:r>
    </w:p>
    <w:p w:rsidR="00132879" w:rsidRDefault="00132879" w:rsidP="0013287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СТРОИТЕЛЬСТВА И ЖИЛИЩНО-КОММУНАЛЬНОГО </w:t>
      </w:r>
    </w:p>
    <w:p w:rsidR="00132879" w:rsidRDefault="00132879" w:rsidP="0013287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ХОЗЯЙСТВА РОССИЙСКОЙ ФЕДЕРАЦИИ </w:t>
      </w:r>
    </w:p>
    <w:p w:rsidR="00132879" w:rsidRDefault="00132879" w:rsidP="0013287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32879" w:rsidRDefault="00132879" w:rsidP="0013287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32879" w:rsidRDefault="00132879" w:rsidP="00132879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10 августа 2026 г. N 18612-ОГ/09 </w:t>
      </w:r>
    </w:p>
    <w:p w:rsidR="00132879" w:rsidRDefault="00132879" w:rsidP="00132879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32879" w:rsidRDefault="00132879" w:rsidP="00132879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Департамент ценообразования и ресурсного обеспечения строительства Минстроя России рассмотрел обращение и сообщает следующее.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соответствии с положениями статьи 54 Градостроительного кодекса Российской Федерации (далее - </w:t>
      </w:r>
      <w:proofErr w:type="spellStart"/>
      <w:r>
        <w:t>ГрК</w:t>
      </w:r>
      <w:proofErr w:type="spellEnd"/>
      <w:r>
        <w:t xml:space="preserve"> РФ) соответствие выполняемых работ и применяемых строительных материалов и изделий в процессе строительства, реконструкции объекта капитального строительства является предметом государственного строительного надзора.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этом следует учитывать, что согласно части 7 статьи 52 </w:t>
      </w:r>
      <w:proofErr w:type="spellStart"/>
      <w:r>
        <w:t>ГрК</w:t>
      </w:r>
      <w:proofErr w:type="spellEnd"/>
      <w:r>
        <w:t xml:space="preserve"> РФ отклонение параметров объекта капитального строительства от проектной документации, необходимость которого выявилась в процессе строительства, реконструкции, капитального ремонта такого объекта, допускается только на основании вновь утвержденной проектной документации после внесения в нее соответствующих изменений в соответствии с </w:t>
      </w:r>
      <w:proofErr w:type="spellStart"/>
      <w:r>
        <w:t>ГрК</w:t>
      </w:r>
      <w:proofErr w:type="spellEnd"/>
      <w:r>
        <w:t xml:space="preserve"> РФ, в том числе в порядке, предусмотренном частями 3.8 и 3.9 статьи 49 </w:t>
      </w:r>
      <w:proofErr w:type="spellStart"/>
      <w:r>
        <w:t>ГрК</w:t>
      </w:r>
      <w:proofErr w:type="spellEnd"/>
      <w:r>
        <w:t xml:space="preserve"> РФ.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Частью 3.8 статьи 49 </w:t>
      </w:r>
      <w:proofErr w:type="spellStart"/>
      <w:r>
        <w:t>ГрК</w:t>
      </w:r>
      <w:proofErr w:type="spellEnd"/>
      <w:r>
        <w:t xml:space="preserve"> РФ установлены основания, в соответствии с которыми экспертиза проектной документации по решению застройщика может не проводиться в отношении изменений, внесенных в проектную документацию, получившую положительное заключение экспертизы, в случае если внесенные изменения одновременно соответствует всем критериям, установленным пунктами 1 - 5 части 3.8 статьи 49 </w:t>
      </w:r>
      <w:proofErr w:type="spellStart"/>
      <w:r>
        <w:t>ГрК</w:t>
      </w:r>
      <w:proofErr w:type="spellEnd"/>
      <w:r>
        <w:t xml:space="preserve"> РФ.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В указанном случае на основании части 15.2 статьи 48 </w:t>
      </w:r>
      <w:proofErr w:type="spellStart"/>
      <w:r>
        <w:t>ГрК</w:t>
      </w:r>
      <w:proofErr w:type="spellEnd"/>
      <w:r>
        <w:t xml:space="preserve"> РФ застройщик или технический заказчик вправе утвердить внесенные изменения при наличии подтверждения соответствия вносимых в проектную документацию изменений требованиям, указанным в части 3.8 статьи 49 </w:t>
      </w:r>
      <w:proofErr w:type="spellStart"/>
      <w:r>
        <w:t>ГрК</w:t>
      </w:r>
      <w:proofErr w:type="spellEnd"/>
      <w:r>
        <w:t xml:space="preserve"> РФ, предоставленного лицом, являющимся членом саморегулируемой организации, основанной на членстве лиц, осуществляющих подготовку проектной документации, утвержденного привлеченным этим лицом специалистом по организации архитектурно-строительного проектирования в должности главного инженера проекта.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Решение о направлении проектной документации для проведения государственной экспертизы, а также решение о внесении изменений в проектную документацию, выбор порядка утверждения изменений, вносимых в проектную документацию, а также необходимость представления такой проектной документации для проведения экспертизы и форма ее проведения принимается застройщиком или техническим заказчиком самостоятельно.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Пунктом 45(13) Положения об организации и проведении государственной экспертизы проектной документации и результатов инженерных изысканий, утвержденного постановлением Правительства Российской Федерации от 5 марта 2007 г. N 145 (далее - Положение N 145) установлены случаи, при которых до даты заключения государственного (муниципального) контракта (договора) по решению застройщика или </w:t>
      </w:r>
      <w:r>
        <w:lastRenderedPageBreak/>
        <w:t xml:space="preserve">технического заказчика проектная документация может быть изменена без ее направления на повторную государственную экспертизу в части проверки сметной стоимости (подпункты "а" и "в" пункта 45(13) Положения N 145).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Особенности определения сметной стоимости при внесении изменений в сметную документацию установлены разделом XI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4 августа 2020 г. N 421/пр.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При этом изменение ставки налога на добавленную стоимость (далее - НДС) не относится к изменениям, предусмотренным в том числе подпунктами "а" и "в" пункта 45(13) Положения N 145, в связи с чем после получения положительного заключения государственной экспертизы в части проверки сметной стоимости при изменении в сметной документации ставки НДС направление такой документации на повторную государственную экспертизу, по мнению Департамента, не предусмотрено.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Дополнительно отмечается, что в соответствии с пунктом 5 части 3.8 статьи 49 </w:t>
      </w:r>
      <w:proofErr w:type="spellStart"/>
      <w:r>
        <w:t>ГрК</w:t>
      </w:r>
      <w:proofErr w:type="spellEnd"/>
      <w:r>
        <w:t xml:space="preserve"> РФ изменения в проектную документацию в том числе должны соответствовать установленной в решении о предоставлении бюджетных ассигнований на осуществление капитальных вложений, принятом в отношении объекта капитального строительства государственной (муниципальной) собственности в установленном порядке, стоимости строительства (реконструкции) объекта капитального строительства, осуществляемого за счет средств бюджетов бюджетной системы Российской Федерации.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Также Департамент считает возможным сообщить, что согласно пункту 3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(далее - НМЦК), утвержденного приказом Минстроя России от 23 декабря 2019 г. N 841/</w:t>
      </w:r>
      <w:proofErr w:type="spellStart"/>
      <w:r>
        <w:t>пр</w:t>
      </w:r>
      <w:proofErr w:type="spellEnd"/>
      <w:r>
        <w:t xml:space="preserve"> (далее - Порядок N 841/</w:t>
      </w:r>
      <w:proofErr w:type="spellStart"/>
      <w:r>
        <w:t>пр</w:t>
      </w:r>
      <w:proofErr w:type="spellEnd"/>
      <w:r>
        <w:t>, Методика 841/</w:t>
      </w:r>
      <w:proofErr w:type="spellStart"/>
      <w:r>
        <w:t>пр</w:t>
      </w:r>
      <w:proofErr w:type="spellEnd"/>
      <w:r>
        <w:t xml:space="preserve">), определение НМЦК и начальной цены единицы товара, работы, услуги производится с учетом НДС по ставкам, установленным для соответствующего вида товаров, работ и услуг, за исключением случаев, когда уплата НДС в соответствии с законодательством Российской Федерации о налогах и сборах не производится. </w:t>
      </w:r>
    </w:p>
    <w:p w:rsidR="00132879" w:rsidRDefault="00132879" w:rsidP="00132879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 xml:space="preserve">Формирование начальной (максимальной) цены контракта осуществляется в соответствии с требованиями Федерального закона от 5 апреля 2013 г. "О контрактной системе в сфере закупок товаров, работ, услуг для обеспечения государственных и муниципальных нужд" N 44-ФЗ, а также Порядка и Методики N 841/пр. НМЦК определяется на основании сметной стоимости, сформированной в установленном порядке, с учетом положительного заключения государственной экспертизы и положений статьи 22 Федерального закона N 44-ФЗ. </w:t>
      </w:r>
    </w:p>
    <w:p w:rsidR="00132879" w:rsidRDefault="00132879" w:rsidP="00132879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  </w:t>
      </w:r>
    </w:p>
    <w:p w:rsidR="00132879" w:rsidRDefault="00132879" w:rsidP="00132879">
      <w:pPr>
        <w:pStyle w:val="a3"/>
        <w:spacing w:before="0" w:beforeAutospacing="0" w:after="0" w:afterAutospacing="0" w:line="288" w:lineRule="atLeast"/>
        <w:jc w:val="right"/>
      </w:pPr>
      <w:r>
        <w:t xml:space="preserve">Директор Департамента </w:t>
      </w:r>
    </w:p>
    <w:p w:rsidR="00132879" w:rsidRDefault="00132879" w:rsidP="00132879">
      <w:pPr>
        <w:pStyle w:val="a3"/>
        <w:spacing w:before="0" w:beforeAutospacing="0" w:after="0" w:afterAutospacing="0" w:line="288" w:lineRule="atLeast"/>
        <w:jc w:val="right"/>
      </w:pPr>
      <w:r>
        <w:t xml:space="preserve">ценообразования и ресурсного </w:t>
      </w:r>
    </w:p>
    <w:p w:rsidR="00132879" w:rsidRDefault="00132879" w:rsidP="00132879">
      <w:pPr>
        <w:pStyle w:val="a3"/>
        <w:spacing w:before="0" w:beforeAutospacing="0" w:after="0" w:afterAutospacing="0" w:line="288" w:lineRule="atLeast"/>
        <w:jc w:val="right"/>
      </w:pPr>
      <w:r>
        <w:t xml:space="preserve">обеспечения строительства </w:t>
      </w:r>
    </w:p>
    <w:p w:rsidR="00132879" w:rsidRDefault="00132879" w:rsidP="00132879">
      <w:pPr>
        <w:pStyle w:val="a3"/>
        <w:spacing w:before="0" w:beforeAutospacing="0" w:after="0" w:afterAutospacing="0" w:line="288" w:lineRule="atLeast"/>
        <w:jc w:val="right"/>
      </w:pPr>
      <w:r>
        <w:t xml:space="preserve">А.Ю.ГОНЧАРОВ </w:t>
      </w:r>
    </w:p>
    <w:p w:rsidR="00132879" w:rsidRDefault="00132879" w:rsidP="00132879">
      <w:pPr>
        <w:pStyle w:val="a3"/>
        <w:spacing w:before="0" w:beforeAutospacing="0" w:after="0" w:afterAutospacing="0" w:line="288" w:lineRule="atLeast"/>
        <w:jc w:val="both"/>
      </w:pPr>
      <w:r>
        <w:t xml:space="preserve">  </w:t>
      </w:r>
      <w:bookmarkStart w:id="0" w:name="_GoBack"/>
      <w:bookmarkEnd w:id="0"/>
    </w:p>
    <w:p w:rsidR="00EB73D7" w:rsidRDefault="00EB73D7"/>
    <w:sectPr w:rsidR="00EB7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5D4"/>
    <w:rsid w:val="00132879"/>
    <w:rsid w:val="006345D4"/>
    <w:rsid w:val="00EB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B2A19-49EC-4037-895C-C89EA291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2</cp:revision>
  <dcterms:created xsi:type="dcterms:W3CDTF">2026-09-09T09:13:00Z</dcterms:created>
  <dcterms:modified xsi:type="dcterms:W3CDTF">2026-09-09T09:13:00Z</dcterms:modified>
</cp:coreProperties>
</file>